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02" w:rsidRPr="000C14F9" w:rsidRDefault="003A2B02" w:rsidP="003A2B02">
      <w:pPr>
        <w:pStyle w:val="BodyTextIndent2"/>
        <w:spacing w:line="276" w:lineRule="auto"/>
        <w:ind w:firstLine="0"/>
        <w:jc w:val="center"/>
        <w:rPr>
          <w:rFonts w:cs="Arial"/>
          <w:bCs/>
          <w:sz w:val="24"/>
          <w:lang w:val="it-IT"/>
        </w:rPr>
      </w:pPr>
      <w:r w:rsidRPr="000C14F9">
        <w:rPr>
          <w:rFonts w:cs="Arial"/>
          <w:bCs/>
          <w:sz w:val="24"/>
          <w:lang w:val="it-IT"/>
        </w:rPr>
        <w:t>BAB  VI</w:t>
      </w:r>
    </w:p>
    <w:p w:rsidR="003A2B02" w:rsidRPr="000C14F9" w:rsidRDefault="003A2B02" w:rsidP="003A2B02">
      <w:pPr>
        <w:pStyle w:val="BodyTextIndent2"/>
        <w:spacing w:line="276" w:lineRule="auto"/>
        <w:ind w:firstLine="0"/>
        <w:jc w:val="center"/>
        <w:rPr>
          <w:rFonts w:cs="Arial"/>
          <w:bCs/>
          <w:sz w:val="24"/>
          <w:lang w:val="id-ID"/>
        </w:rPr>
      </w:pPr>
      <w:r w:rsidRPr="000C14F9">
        <w:rPr>
          <w:rFonts w:cs="Arial"/>
          <w:bCs/>
          <w:sz w:val="24"/>
          <w:lang w:val="it-IT"/>
        </w:rPr>
        <w:t xml:space="preserve">INDIKATOR KINERJA </w:t>
      </w:r>
      <w:r w:rsidRPr="000C14F9">
        <w:rPr>
          <w:rFonts w:cs="Arial"/>
          <w:bCs/>
          <w:sz w:val="24"/>
          <w:lang w:val="id-ID"/>
        </w:rPr>
        <w:t>YANG MENGA</w:t>
      </w:r>
      <w:r w:rsidRPr="000C14F9">
        <w:rPr>
          <w:rFonts w:cs="Arial"/>
          <w:bCs/>
          <w:sz w:val="24"/>
        </w:rPr>
        <w:t>C</w:t>
      </w:r>
      <w:r w:rsidRPr="000C14F9">
        <w:rPr>
          <w:rFonts w:cs="Arial"/>
          <w:bCs/>
          <w:sz w:val="24"/>
          <w:lang w:val="id-ID"/>
        </w:rPr>
        <w:t>U PADA</w:t>
      </w:r>
    </w:p>
    <w:p w:rsidR="003A2B02" w:rsidRPr="000C14F9" w:rsidRDefault="003A2B02" w:rsidP="003A2B02">
      <w:pPr>
        <w:pStyle w:val="BodyTextIndent2"/>
        <w:spacing w:line="276" w:lineRule="auto"/>
        <w:ind w:firstLine="0"/>
        <w:jc w:val="center"/>
        <w:rPr>
          <w:rFonts w:cs="Arial"/>
          <w:bCs/>
          <w:sz w:val="24"/>
          <w:lang w:val="id-ID"/>
        </w:rPr>
      </w:pPr>
      <w:r w:rsidRPr="000C14F9">
        <w:rPr>
          <w:rFonts w:cs="Arial"/>
          <w:bCs/>
          <w:sz w:val="24"/>
          <w:lang w:val="id-ID"/>
        </w:rPr>
        <w:t>TUJUA</w:t>
      </w:r>
      <w:r w:rsidRPr="000C14F9">
        <w:rPr>
          <w:rFonts w:cs="Arial"/>
          <w:bCs/>
          <w:sz w:val="24"/>
        </w:rPr>
        <w:t>N</w:t>
      </w:r>
      <w:r w:rsidRPr="000C14F9">
        <w:rPr>
          <w:rFonts w:cs="Arial"/>
          <w:bCs/>
          <w:sz w:val="24"/>
          <w:lang w:val="id-ID"/>
        </w:rPr>
        <w:t xml:space="preserve"> DAN SASARAN RPJMD</w:t>
      </w:r>
    </w:p>
    <w:p w:rsidR="003A2B02" w:rsidRPr="000C14F9" w:rsidRDefault="003A2B02" w:rsidP="003A2B02">
      <w:pPr>
        <w:pStyle w:val="BodyTextIndent2"/>
        <w:spacing w:line="240" w:lineRule="auto"/>
        <w:ind w:firstLine="0"/>
        <w:jc w:val="center"/>
        <w:rPr>
          <w:rFonts w:cs="Arial"/>
          <w:bCs/>
          <w:sz w:val="24"/>
          <w:lang w:val="id-ID"/>
        </w:rPr>
      </w:pPr>
    </w:p>
    <w:p w:rsidR="003A2B02" w:rsidRPr="000C14F9" w:rsidRDefault="003A2B02" w:rsidP="003A2B02">
      <w:pPr>
        <w:pStyle w:val="BodyTextIndent2"/>
        <w:spacing w:line="240" w:lineRule="auto"/>
        <w:ind w:firstLine="0"/>
        <w:jc w:val="center"/>
        <w:rPr>
          <w:rFonts w:cs="Arial"/>
          <w:bCs/>
          <w:sz w:val="24"/>
          <w:lang w:val="id-ID"/>
        </w:rPr>
      </w:pPr>
    </w:p>
    <w:p w:rsidR="003A2B02" w:rsidRPr="000C14F9" w:rsidRDefault="003A2B02" w:rsidP="003A2B02">
      <w:pPr>
        <w:pStyle w:val="BodyTextIndent2"/>
        <w:spacing w:line="240" w:lineRule="auto"/>
        <w:ind w:firstLine="0"/>
        <w:jc w:val="center"/>
        <w:rPr>
          <w:rFonts w:cs="Arial"/>
          <w:bCs/>
          <w:sz w:val="24"/>
          <w:lang w:val="id-ID"/>
        </w:rPr>
      </w:pPr>
    </w:p>
    <w:p w:rsidR="003A2B02" w:rsidRPr="000C14F9" w:rsidRDefault="003A2B02" w:rsidP="00D07517">
      <w:pPr>
        <w:pStyle w:val="BodyTextIndent2"/>
        <w:spacing w:line="276" w:lineRule="auto"/>
        <w:ind w:firstLine="720"/>
        <w:rPr>
          <w:rFonts w:cs="Arial"/>
          <w:bCs/>
          <w:sz w:val="24"/>
          <w:lang w:val="id-ID"/>
        </w:rPr>
      </w:pPr>
      <w:r w:rsidRPr="000C14F9">
        <w:rPr>
          <w:rFonts w:cs="Arial"/>
          <w:bCs/>
          <w:sz w:val="24"/>
          <w:lang w:val="id-ID"/>
        </w:rPr>
        <w:t>Tujuan dan sasaran strategis ditetapkan secara rinci dan detail untuk periode tahunan, dimaksudkan untuk mendukung setiap strategi Badan Penanaman Modal dan Perizinan Terpadu Kabupaten Kebumen guna mendukung keberhasilan visi misi kabupaten. Keberhasilan pencapaian tujuan dan sasaran strategis perlu diukur dan dilaporkan setiap tahun, sehingga setiap sasaran strategi perlu ditetapkan indikator kinerjanya.</w:t>
      </w:r>
    </w:p>
    <w:p w:rsidR="003A2B02" w:rsidRPr="000C14F9" w:rsidRDefault="003A2B02" w:rsidP="00D07517">
      <w:pPr>
        <w:pStyle w:val="BodyTextIndent2"/>
        <w:spacing w:line="276" w:lineRule="auto"/>
        <w:ind w:firstLine="720"/>
        <w:rPr>
          <w:rFonts w:cs="Arial"/>
          <w:bCs/>
          <w:sz w:val="24"/>
          <w:lang w:val="id-ID"/>
        </w:rPr>
      </w:pPr>
      <w:r w:rsidRPr="000C14F9">
        <w:rPr>
          <w:rFonts w:cs="Arial"/>
          <w:bCs/>
          <w:sz w:val="24"/>
          <w:lang w:val="id-ID"/>
        </w:rPr>
        <w:t>Indikator kinerja penanaman modal secara teknis pada dasarnya dirumuskan dengan mengambil indikator dari program prioritas yang telah ditetapkan (outcome) atau kompositnya (impact). Suatu indikator kinerja penanaman modal dapat dirumuskan berdasarkan hasil analisis pengaruh dari suatu atau lebih indikator capaian kinerja program terhadap tingkat capaian penanaman modal berkenaan setelah program dan kegiatan yang ditetapkan.</w:t>
      </w:r>
    </w:p>
    <w:p w:rsidR="003A2B02" w:rsidRPr="000C14F9" w:rsidRDefault="003A2B02" w:rsidP="00D07517">
      <w:pPr>
        <w:pStyle w:val="BodyTextIndent2"/>
        <w:spacing w:line="276" w:lineRule="auto"/>
        <w:ind w:firstLine="720"/>
        <w:rPr>
          <w:rFonts w:cs="Arial"/>
          <w:bCs/>
          <w:sz w:val="24"/>
          <w:lang w:val="id-ID"/>
        </w:rPr>
      </w:pPr>
      <w:r w:rsidRPr="000C14F9">
        <w:rPr>
          <w:rFonts w:cs="Arial"/>
          <w:bCs/>
          <w:sz w:val="24"/>
          <w:lang w:val="id-ID"/>
        </w:rPr>
        <w:t>Indikator kinerja Badan Penanaman Modal dan Perizinan Terpadu Kabupaten Kebumen yang menjadi tolak ukur dalam pencapaian tujuan dan sasaran dimaksud dalam 5 (lima) tahun kedepan adalah sebagai berikut :</w:t>
      </w:r>
    </w:p>
    <w:p w:rsidR="00D07517" w:rsidRDefault="003A2B02" w:rsidP="00D07517">
      <w:pPr>
        <w:pStyle w:val="BodyTextIndent2"/>
        <w:numPr>
          <w:ilvl w:val="0"/>
          <w:numId w:val="1"/>
        </w:numPr>
        <w:spacing w:line="276" w:lineRule="auto"/>
        <w:rPr>
          <w:rFonts w:cs="Arial"/>
          <w:bCs/>
          <w:sz w:val="24"/>
          <w:lang w:val="id-ID"/>
        </w:rPr>
      </w:pPr>
      <w:r w:rsidRPr="000C14F9">
        <w:rPr>
          <w:rFonts w:cs="Arial"/>
          <w:bCs/>
          <w:sz w:val="24"/>
          <w:lang w:val="id-ID"/>
        </w:rPr>
        <w:t>Peningkatan nilai dan jumlah investasi</w:t>
      </w:r>
    </w:p>
    <w:p w:rsidR="00D07517" w:rsidRDefault="003A2B02" w:rsidP="00D07517">
      <w:pPr>
        <w:pStyle w:val="BodyTextIndent2"/>
        <w:numPr>
          <w:ilvl w:val="0"/>
          <w:numId w:val="1"/>
        </w:numPr>
        <w:spacing w:line="276" w:lineRule="auto"/>
        <w:rPr>
          <w:rFonts w:cs="Arial"/>
          <w:bCs/>
          <w:sz w:val="24"/>
          <w:lang w:val="id-ID"/>
        </w:rPr>
      </w:pPr>
      <w:r w:rsidRPr="00D07517">
        <w:rPr>
          <w:rFonts w:cs="Arial"/>
          <w:bCs/>
          <w:sz w:val="24"/>
          <w:lang w:val="id-ID"/>
        </w:rPr>
        <w:t>Peningkatan jumlah pelayanan perizinan</w:t>
      </w:r>
    </w:p>
    <w:p w:rsidR="003A2B02" w:rsidRPr="00D07517" w:rsidRDefault="003A2B02" w:rsidP="00D07517">
      <w:pPr>
        <w:pStyle w:val="BodyTextIndent2"/>
        <w:numPr>
          <w:ilvl w:val="0"/>
          <w:numId w:val="1"/>
        </w:numPr>
        <w:spacing w:line="276" w:lineRule="auto"/>
        <w:rPr>
          <w:rFonts w:cs="Arial"/>
          <w:bCs/>
          <w:sz w:val="24"/>
          <w:lang w:val="id-ID"/>
        </w:rPr>
      </w:pPr>
      <w:r w:rsidRPr="00D07517">
        <w:rPr>
          <w:rFonts w:cs="Arial"/>
          <w:bCs/>
          <w:sz w:val="24"/>
          <w:lang w:val="id-ID"/>
        </w:rPr>
        <w:t>Jumlah keikut</w:t>
      </w:r>
      <w:r w:rsidRPr="00D07517">
        <w:rPr>
          <w:rFonts w:cs="Arial"/>
          <w:bCs/>
          <w:sz w:val="24"/>
        </w:rPr>
        <w:t>-</w:t>
      </w:r>
      <w:r w:rsidRPr="00D07517">
        <w:rPr>
          <w:rFonts w:cs="Arial"/>
          <w:bCs/>
          <w:sz w:val="24"/>
          <w:lang w:val="id-ID"/>
        </w:rPr>
        <w:t>sertaan pada pameran investasi dalam negeri.</w:t>
      </w:r>
    </w:p>
    <w:p w:rsidR="003A2B02" w:rsidRPr="000C14F9" w:rsidRDefault="003A2B02" w:rsidP="00D07517">
      <w:pPr>
        <w:pStyle w:val="BodyTextIndent2"/>
        <w:tabs>
          <w:tab w:val="left" w:pos="-142"/>
        </w:tabs>
        <w:spacing w:line="276" w:lineRule="auto"/>
        <w:ind w:firstLine="720"/>
        <w:rPr>
          <w:rFonts w:cs="Arial"/>
          <w:bCs/>
          <w:sz w:val="24"/>
          <w:lang w:val="id-ID"/>
        </w:rPr>
      </w:pPr>
      <w:r w:rsidRPr="000C14F9">
        <w:rPr>
          <w:rFonts w:cs="Arial"/>
          <w:bCs/>
          <w:sz w:val="24"/>
          <w:lang w:val="id-ID"/>
        </w:rPr>
        <w:t xml:space="preserve">Jabaran indikator kinerja untuk seluruh sasaran strategi dan periode pencapaian setiap sasaran seperti ditunjukkan pada </w:t>
      </w:r>
      <w:r w:rsidR="00860DD6" w:rsidRPr="000C14F9">
        <w:rPr>
          <w:rFonts w:cs="Arial"/>
          <w:bCs/>
          <w:i/>
          <w:sz w:val="24"/>
          <w:lang w:val="id-ID"/>
        </w:rPr>
        <w:t>T</w:t>
      </w:r>
      <w:r w:rsidRPr="000C14F9">
        <w:rPr>
          <w:rFonts w:cs="Arial"/>
          <w:bCs/>
          <w:i/>
          <w:sz w:val="24"/>
          <w:lang w:val="id-ID"/>
        </w:rPr>
        <w:t xml:space="preserve">abel </w:t>
      </w:r>
      <w:r w:rsidR="00860DD6" w:rsidRPr="000C14F9">
        <w:rPr>
          <w:rFonts w:cs="Arial"/>
          <w:bCs/>
          <w:i/>
          <w:sz w:val="24"/>
          <w:lang w:val="id-ID"/>
        </w:rPr>
        <w:t>6.1</w:t>
      </w:r>
    </w:p>
    <w:p w:rsidR="00D50715" w:rsidRPr="000C14F9" w:rsidRDefault="00D50715"/>
    <w:p w:rsidR="009062F8" w:rsidRPr="000C14F9" w:rsidRDefault="009062F8"/>
    <w:p w:rsidR="009062F8" w:rsidRPr="000C14F9" w:rsidRDefault="009062F8"/>
    <w:p w:rsidR="00950AC6" w:rsidRPr="000C14F9" w:rsidRDefault="00950AC6"/>
    <w:p w:rsidR="00860DD6" w:rsidRPr="000C14F9" w:rsidRDefault="00860DD6"/>
    <w:p w:rsidR="00860DD6" w:rsidRPr="000C14F9" w:rsidRDefault="00860DD6"/>
    <w:p w:rsidR="00860DD6" w:rsidRPr="000C14F9" w:rsidRDefault="00860DD6"/>
    <w:p w:rsidR="00860DD6" w:rsidRPr="000C14F9" w:rsidRDefault="00860DD6"/>
    <w:p w:rsidR="00860DD6" w:rsidRPr="000C14F9" w:rsidRDefault="00860DD6"/>
    <w:p w:rsidR="00860DD6" w:rsidRPr="000C14F9" w:rsidRDefault="00860DD6">
      <w:pPr>
        <w:sectPr w:rsidR="00860DD6" w:rsidRPr="000C14F9" w:rsidSect="00F57917">
          <w:footerReference w:type="default" r:id="rId8"/>
          <w:pgSz w:w="11906" w:h="16838"/>
          <w:pgMar w:top="1440" w:right="1440" w:bottom="1440" w:left="1440" w:header="708" w:footer="708" w:gutter="0"/>
          <w:pgNumType w:start="49"/>
          <w:cols w:space="708"/>
          <w:docGrid w:linePitch="360"/>
        </w:sectPr>
      </w:pPr>
    </w:p>
    <w:tbl>
      <w:tblPr>
        <w:tblpPr w:leftFromText="180" w:rightFromText="180" w:vertAnchor="page" w:horzAnchor="margin" w:tblpXSpec="center" w:tblpY="1456"/>
        <w:tblW w:w="1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75"/>
        <w:gridCol w:w="2539"/>
        <w:gridCol w:w="1264"/>
        <w:gridCol w:w="1721"/>
        <w:gridCol w:w="1186"/>
        <w:gridCol w:w="1186"/>
        <w:gridCol w:w="1186"/>
        <w:gridCol w:w="1186"/>
        <w:gridCol w:w="1186"/>
        <w:gridCol w:w="1186"/>
        <w:gridCol w:w="1186"/>
      </w:tblGrid>
      <w:tr w:rsidR="00D4709A" w:rsidRPr="000C14F9" w:rsidTr="00D07517">
        <w:tc>
          <w:tcPr>
            <w:tcW w:w="5114" w:type="dxa"/>
            <w:gridSpan w:val="2"/>
            <w:shd w:val="clear" w:color="auto" w:fill="auto"/>
            <w:vAlign w:val="center"/>
          </w:tcPr>
          <w:p w:rsidR="00D4709A" w:rsidRPr="000C14F9" w:rsidRDefault="00D4709A" w:rsidP="001632DF">
            <w:pPr>
              <w:pStyle w:val="BodyTextIndent2"/>
              <w:spacing w:before="120" w:line="240" w:lineRule="auto"/>
              <w:ind w:right="-5" w:firstLine="0"/>
              <w:jc w:val="center"/>
              <w:rPr>
                <w:rFonts w:cs="Arial"/>
                <w:bCs/>
                <w:sz w:val="24"/>
                <w:lang w:val="id-ID"/>
              </w:rPr>
            </w:pPr>
            <w:r w:rsidRPr="000C14F9">
              <w:rPr>
                <w:rFonts w:cs="Arial"/>
                <w:bCs/>
                <w:sz w:val="24"/>
                <w:lang w:val="id-ID"/>
              </w:rPr>
              <w:lastRenderedPageBreak/>
              <w:t>Indikator Kinerja Sasaran</w:t>
            </w:r>
          </w:p>
        </w:tc>
        <w:tc>
          <w:tcPr>
            <w:tcW w:w="1264" w:type="dxa"/>
            <w:vMerge w:val="restart"/>
            <w:vAlign w:val="center"/>
          </w:tcPr>
          <w:p w:rsidR="00D4709A" w:rsidRPr="000C14F9" w:rsidRDefault="00D4709A" w:rsidP="001632DF">
            <w:pPr>
              <w:pStyle w:val="BodyTextIndent2"/>
              <w:spacing w:before="240" w:line="240" w:lineRule="auto"/>
              <w:ind w:right="-5" w:firstLine="0"/>
              <w:jc w:val="center"/>
              <w:rPr>
                <w:rFonts w:cs="Arial"/>
                <w:bCs/>
                <w:sz w:val="24"/>
                <w:lang w:val="id-ID"/>
              </w:rPr>
            </w:pPr>
            <w:r w:rsidRPr="000C14F9">
              <w:rPr>
                <w:rFonts w:cs="Arial"/>
                <w:bCs/>
                <w:sz w:val="24"/>
                <w:lang w:val="id-ID"/>
              </w:rPr>
              <w:t>Satuan</w:t>
            </w:r>
          </w:p>
        </w:tc>
        <w:tc>
          <w:tcPr>
            <w:tcW w:w="1721" w:type="dxa"/>
            <w:vMerge w:val="restart"/>
            <w:vAlign w:val="center"/>
          </w:tcPr>
          <w:p w:rsidR="001632DF" w:rsidRPr="000C14F9" w:rsidRDefault="00D4709A" w:rsidP="001632DF">
            <w:pPr>
              <w:pStyle w:val="BodyTextIndent2"/>
              <w:spacing w:before="240" w:line="240" w:lineRule="auto"/>
              <w:ind w:right="-5" w:firstLine="0"/>
              <w:jc w:val="center"/>
              <w:rPr>
                <w:rFonts w:cs="Arial"/>
                <w:bCs/>
                <w:sz w:val="24"/>
                <w:lang w:val="id-ID"/>
              </w:rPr>
            </w:pPr>
            <w:r w:rsidRPr="000C14F9">
              <w:rPr>
                <w:rFonts w:cs="Arial"/>
                <w:bCs/>
                <w:sz w:val="24"/>
                <w:lang w:val="id-ID"/>
              </w:rPr>
              <w:t>Kondisi saat ini</w:t>
            </w:r>
          </w:p>
          <w:p w:rsidR="00D4709A" w:rsidRPr="000C14F9" w:rsidRDefault="00D4709A" w:rsidP="001632DF">
            <w:pPr>
              <w:pStyle w:val="BodyTextIndent2"/>
              <w:spacing w:before="240" w:line="240" w:lineRule="auto"/>
              <w:ind w:right="-5" w:firstLine="0"/>
              <w:jc w:val="center"/>
              <w:rPr>
                <w:rFonts w:cs="Arial"/>
                <w:bCs/>
                <w:sz w:val="24"/>
                <w:lang w:val="id-ID"/>
              </w:rPr>
            </w:pPr>
            <w:r w:rsidRPr="000C14F9">
              <w:rPr>
                <w:rFonts w:cs="Arial"/>
                <w:bCs/>
                <w:sz w:val="24"/>
                <w:lang w:val="id-ID"/>
              </w:rPr>
              <w:t>(akhir 2015)</w:t>
            </w:r>
          </w:p>
        </w:tc>
        <w:tc>
          <w:tcPr>
            <w:tcW w:w="7116" w:type="dxa"/>
            <w:gridSpan w:val="6"/>
            <w:shd w:val="clear" w:color="auto" w:fill="auto"/>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Target Kinerja Sasaran pada tahun :</w:t>
            </w:r>
          </w:p>
        </w:tc>
        <w:tc>
          <w:tcPr>
            <w:tcW w:w="1186" w:type="dxa"/>
            <w:vMerge w:val="restart"/>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Kondisi akhir renstra</w:t>
            </w:r>
          </w:p>
        </w:tc>
      </w:tr>
      <w:tr w:rsidR="002A43E0" w:rsidRPr="000C14F9" w:rsidTr="00D07517">
        <w:trPr>
          <w:trHeight w:val="390"/>
        </w:trPr>
        <w:tc>
          <w:tcPr>
            <w:tcW w:w="2575" w:type="dxa"/>
            <w:shd w:val="clear" w:color="auto" w:fill="auto"/>
            <w:vAlign w:val="center"/>
          </w:tcPr>
          <w:p w:rsidR="00D4709A" w:rsidRPr="000C14F9" w:rsidRDefault="00D4709A" w:rsidP="001632DF">
            <w:pPr>
              <w:pStyle w:val="BodyTextIndent2"/>
              <w:spacing w:before="120" w:line="240" w:lineRule="auto"/>
              <w:ind w:right="-5" w:firstLine="0"/>
              <w:jc w:val="center"/>
              <w:rPr>
                <w:rFonts w:cs="Arial"/>
                <w:bCs/>
                <w:sz w:val="24"/>
                <w:lang w:val="id-ID"/>
              </w:rPr>
            </w:pPr>
            <w:r w:rsidRPr="000C14F9">
              <w:rPr>
                <w:rFonts w:cs="Arial"/>
                <w:bCs/>
                <w:sz w:val="24"/>
                <w:lang w:val="id-ID"/>
              </w:rPr>
              <w:t>Indikator Kinerja Utama Daerah</w:t>
            </w:r>
          </w:p>
        </w:tc>
        <w:tc>
          <w:tcPr>
            <w:tcW w:w="2539" w:type="dxa"/>
            <w:shd w:val="clear" w:color="auto" w:fill="auto"/>
            <w:vAlign w:val="center"/>
          </w:tcPr>
          <w:p w:rsidR="00D4709A" w:rsidRPr="000C14F9" w:rsidRDefault="00D4709A" w:rsidP="001632DF">
            <w:pPr>
              <w:pStyle w:val="BodyTextIndent2"/>
              <w:spacing w:before="120" w:line="240" w:lineRule="auto"/>
              <w:ind w:right="-5" w:firstLine="0"/>
              <w:jc w:val="center"/>
              <w:rPr>
                <w:rFonts w:cs="Arial"/>
                <w:bCs/>
                <w:sz w:val="24"/>
                <w:lang w:val="id-ID"/>
              </w:rPr>
            </w:pPr>
            <w:r w:rsidRPr="000C14F9">
              <w:rPr>
                <w:rFonts w:cs="Arial"/>
                <w:bCs/>
                <w:sz w:val="24"/>
                <w:lang w:val="id-ID"/>
              </w:rPr>
              <w:t>Indikator Kinerja Program</w:t>
            </w:r>
          </w:p>
        </w:tc>
        <w:tc>
          <w:tcPr>
            <w:tcW w:w="1264" w:type="dxa"/>
            <w:vMerge/>
            <w:vAlign w:val="center"/>
          </w:tcPr>
          <w:p w:rsidR="00D4709A" w:rsidRPr="000C14F9" w:rsidRDefault="00D4709A" w:rsidP="001632DF">
            <w:pPr>
              <w:pStyle w:val="BodyTextIndent2"/>
              <w:spacing w:before="120" w:line="240" w:lineRule="auto"/>
              <w:ind w:firstLine="0"/>
              <w:jc w:val="center"/>
              <w:rPr>
                <w:rFonts w:cs="Arial"/>
                <w:bCs/>
                <w:sz w:val="24"/>
                <w:lang w:val="id-ID"/>
              </w:rPr>
            </w:pPr>
          </w:p>
        </w:tc>
        <w:tc>
          <w:tcPr>
            <w:tcW w:w="1721" w:type="dxa"/>
            <w:vMerge/>
            <w:vAlign w:val="center"/>
          </w:tcPr>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shd w:val="clear" w:color="auto" w:fill="auto"/>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2016</w:t>
            </w:r>
          </w:p>
        </w:tc>
        <w:tc>
          <w:tcPr>
            <w:tcW w:w="1186" w:type="dxa"/>
            <w:shd w:val="clear" w:color="auto" w:fill="auto"/>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2017</w:t>
            </w:r>
          </w:p>
        </w:tc>
        <w:tc>
          <w:tcPr>
            <w:tcW w:w="1186" w:type="dxa"/>
            <w:shd w:val="clear" w:color="auto" w:fill="auto"/>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2018</w:t>
            </w:r>
          </w:p>
        </w:tc>
        <w:tc>
          <w:tcPr>
            <w:tcW w:w="1186" w:type="dxa"/>
            <w:shd w:val="clear" w:color="auto" w:fill="auto"/>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2019</w:t>
            </w:r>
          </w:p>
        </w:tc>
        <w:tc>
          <w:tcPr>
            <w:tcW w:w="1186" w:type="dxa"/>
            <w:shd w:val="clear" w:color="auto" w:fill="auto"/>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2020</w:t>
            </w:r>
          </w:p>
        </w:tc>
        <w:tc>
          <w:tcPr>
            <w:tcW w:w="1186" w:type="dxa"/>
            <w:shd w:val="clear" w:color="auto" w:fill="auto"/>
            <w:vAlign w:val="center"/>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2021</w:t>
            </w:r>
          </w:p>
        </w:tc>
        <w:tc>
          <w:tcPr>
            <w:tcW w:w="1186" w:type="dxa"/>
            <w:vMerge/>
            <w:vAlign w:val="center"/>
          </w:tcPr>
          <w:p w:rsidR="00D4709A" w:rsidRPr="000C14F9" w:rsidRDefault="00D4709A" w:rsidP="001632DF">
            <w:pPr>
              <w:pStyle w:val="BodyTextIndent2"/>
              <w:spacing w:before="120" w:line="240" w:lineRule="auto"/>
              <w:ind w:firstLine="0"/>
              <w:jc w:val="center"/>
              <w:rPr>
                <w:rFonts w:cs="Arial"/>
                <w:bCs/>
                <w:sz w:val="24"/>
                <w:lang w:val="id-ID"/>
              </w:rPr>
            </w:pPr>
          </w:p>
        </w:tc>
      </w:tr>
      <w:tr w:rsidR="00D07517" w:rsidRPr="000C14F9" w:rsidTr="00D07517">
        <w:trPr>
          <w:trHeight w:val="540"/>
        </w:trPr>
        <w:tc>
          <w:tcPr>
            <w:tcW w:w="2575" w:type="dxa"/>
            <w:shd w:val="clear" w:color="auto" w:fill="auto"/>
          </w:tcPr>
          <w:p w:rsidR="00D07517" w:rsidRPr="000C14F9" w:rsidRDefault="00D07517" w:rsidP="001632DF">
            <w:pPr>
              <w:pStyle w:val="BodyTextIndent2"/>
              <w:spacing w:before="120" w:line="240" w:lineRule="auto"/>
              <w:ind w:right="-5" w:firstLine="0"/>
              <w:jc w:val="left"/>
              <w:rPr>
                <w:rFonts w:cs="Arial"/>
                <w:bCs/>
                <w:sz w:val="24"/>
                <w:lang w:val="id-ID"/>
              </w:rPr>
            </w:pPr>
            <w:r w:rsidRPr="000C14F9">
              <w:rPr>
                <w:rFonts w:cs="Arial"/>
                <w:bCs/>
                <w:sz w:val="24"/>
                <w:lang w:val="id-ID"/>
              </w:rPr>
              <w:t>Meningkatkan daya saing investasi</w:t>
            </w:r>
          </w:p>
        </w:tc>
        <w:tc>
          <w:tcPr>
            <w:tcW w:w="2539" w:type="dxa"/>
            <w:shd w:val="clear" w:color="auto" w:fill="auto"/>
          </w:tcPr>
          <w:p w:rsidR="00D07517" w:rsidRPr="000C14F9" w:rsidRDefault="00D07517" w:rsidP="001632DF">
            <w:pPr>
              <w:pStyle w:val="BodyTextIndent2"/>
              <w:spacing w:before="120" w:line="240" w:lineRule="auto"/>
              <w:ind w:left="34" w:firstLine="0"/>
              <w:jc w:val="left"/>
              <w:rPr>
                <w:rFonts w:cs="Arial"/>
                <w:bCs/>
                <w:sz w:val="24"/>
                <w:lang w:val="id-ID"/>
              </w:rPr>
            </w:pPr>
            <w:r w:rsidRPr="000C14F9">
              <w:rPr>
                <w:rFonts w:cs="Arial"/>
                <w:bCs/>
                <w:sz w:val="24"/>
                <w:lang w:val="id-ID"/>
              </w:rPr>
              <w:t>Nilai investasi PMA/PMDN</w:t>
            </w:r>
          </w:p>
          <w:p w:rsidR="00D07517" w:rsidRPr="000C14F9" w:rsidRDefault="00D07517" w:rsidP="001632DF">
            <w:pPr>
              <w:pStyle w:val="BodyTextIndent2"/>
              <w:spacing w:before="120" w:line="240" w:lineRule="auto"/>
              <w:ind w:firstLine="0"/>
              <w:jc w:val="left"/>
              <w:rPr>
                <w:rFonts w:cs="Arial"/>
                <w:bCs/>
                <w:sz w:val="24"/>
                <w:lang w:val="id-ID"/>
              </w:rPr>
            </w:pPr>
          </w:p>
        </w:tc>
        <w:tc>
          <w:tcPr>
            <w:tcW w:w="1264" w:type="dxa"/>
          </w:tcPr>
          <w:p w:rsidR="00D07517" w:rsidRPr="000C14F9" w:rsidRDefault="00D07517" w:rsidP="001632DF">
            <w:pPr>
              <w:pStyle w:val="BodyTextIndent2"/>
              <w:spacing w:before="120" w:line="240" w:lineRule="auto"/>
              <w:ind w:firstLine="0"/>
              <w:jc w:val="center"/>
              <w:rPr>
                <w:rFonts w:cs="Arial"/>
                <w:bCs/>
                <w:sz w:val="24"/>
                <w:lang w:val="id-ID"/>
              </w:rPr>
            </w:pPr>
            <w:r w:rsidRPr="000C14F9">
              <w:rPr>
                <w:rFonts w:cs="Arial"/>
                <w:bCs/>
                <w:sz w:val="24"/>
                <w:lang w:val="id-ID"/>
              </w:rPr>
              <w:t>Rp (dlm miliar)</w:t>
            </w:r>
          </w:p>
        </w:tc>
        <w:tc>
          <w:tcPr>
            <w:tcW w:w="1721" w:type="dxa"/>
          </w:tcPr>
          <w:p w:rsidR="00D07517" w:rsidRPr="000C14F9" w:rsidRDefault="00D07517" w:rsidP="001632DF">
            <w:pPr>
              <w:pStyle w:val="BodyTextIndent2"/>
              <w:spacing w:before="120" w:line="240" w:lineRule="auto"/>
              <w:ind w:firstLine="0"/>
              <w:jc w:val="center"/>
              <w:rPr>
                <w:rFonts w:cs="Arial"/>
                <w:bCs/>
                <w:sz w:val="24"/>
                <w:lang w:val="id-ID"/>
              </w:rPr>
            </w:pPr>
            <w:r w:rsidRPr="000C14F9">
              <w:rPr>
                <w:rFonts w:cs="Arial"/>
                <w:bCs/>
                <w:sz w:val="24"/>
                <w:lang w:val="id-ID"/>
              </w:rPr>
              <w:t>324.436</w:t>
            </w:r>
          </w:p>
        </w:tc>
        <w:tc>
          <w:tcPr>
            <w:tcW w:w="1186" w:type="dxa"/>
            <w:shd w:val="clear" w:color="auto" w:fill="auto"/>
          </w:tcPr>
          <w:p w:rsidR="00D07517" w:rsidRPr="00D07517" w:rsidRDefault="00D07517" w:rsidP="006332F2">
            <w:pPr>
              <w:pStyle w:val="BodyTextIndent2"/>
              <w:spacing w:before="120" w:line="276" w:lineRule="auto"/>
              <w:ind w:firstLine="0"/>
              <w:jc w:val="center"/>
              <w:rPr>
                <w:rFonts w:cs="Arial"/>
                <w:bCs/>
                <w:sz w:val="24"/>
                <w:szCs w:val="16"/>
                <w:lang w:val="id-ID"/>
              </w:rPr>
            </w:pPr>
            <w:r w:rsidRPr="00D07517">
              <w:rPr>
                <w:rFonts w:cs="Arial"/>
                <w:bCs/>
                <w:sz w:val="24"/>
                <w:szCs w:val="16"/>
                <w:lang w:val="id-ID"/>
              </w:rPr>
              <w:t>324.436</w:t>
            </w:r>
          </w:p>
        </w:tc>
        <w:tc>
          <w:tcPr>
            <w:tcW w:w="1186" w:type="dxa"/>
            <w:shd w:val="clear" w:color="auto" w:fill="auto"/>
          </w:tcPr>
          <w:p w:rsidR="00D07517" w:rsidRPr="00D07517" w:rsidRDefault="00D07517" w:rsidP="006332F2">
            <w:pPr>
              <w:pStyle w:val="BodyTextIndent2"/>
              <w:spacing w:before="120" w:line="276" w:lineRule="auto"/>
              <w:ind w:firstLine="0"/>
              <w:jc w:val="center"/>
              <w:rPr>
                <w:rFonts w:cs="Arial"/>
                <w:bCs/>
                <w:sz w:val="24"/>
                <w:szCs w:val="16"/>
                <w:lang w:val="id-ID"/>
              </w:rPr>
            </w:pPr>
            <w:r w:rsidRPr="00D07517">
              <w:rPr>
                <w:rFonts w:cs="Arial"/>
                <w:bCs/>
                <w:sz w:val="24"/>
                <w:szCs w:val="16"/>
                <w:lang w:val="id-ID"/>
              </w:rPr>
              <w:t>324.436</w:t>
            </w:r>
          </w:p>
        </w:tc>
        <w:tc>
          <w:tcPr>
            <w:tcW w:w="1186" w:type="dxa"/>
            <w:shd w:val="clear" w:color="auto" w:fill="auto"/>
          </w:tcPr>
          <w:p w:rsidR="00D07517" w:rsidRPr="00D07517" w:rsidRDefault="00D07517" w:rsidP="006332F2">
            <w:pPr>
              <w:pStyle w:val="BodyTextIndent2"/>
              <w:spacing w:before="120" w:line="276" w:lineRule="auto"/>
              <w:ind w:firstLine="0"/>
              <w:jc w:val="center"/>
              <w:rPr>
                <w:rFonts w:cs="Arial"/>
                <w:bCs/>
                <w:sz w:val="24"/>
                <w:szCs w:val="16"/>
                <w:lang w:val="id-ID"/>
              </w:rPr>
            </w:pPr>
            <w:r w:rsidRPr="00D07517">
              <w:rPr>
                <w:rFonts w:cs="Arial"/>
                <w:bCs/>
                <w:sz w:val="24"/>
                <w:szCs w:val="16"/>
                <w:lang w:val="id-ID"/>
              </w:rPr>
              <w:t>340.658</w:t>
            </w:r>
          </w:p>
        </w:tc>
        <w:tc>
          <w:tcPr>
            <w:tcW w:w="1186" w:type="dxa"/>
            <w:shd w:val="clear" w:color="auto" w:fill="auto"/>
          </w:tcPr>
          <w:p w:rsidR="00D07517" w:rsidRPr="00D07517" w:rsidRDefault="00D07517" w:rsidP="006332F2">
            <w:pPr>
              <w:pStyle w:val="BodyTextIndent2"/>
              <w:spacing w:before="120" w:line="276" w:lineRule="auto"/>
              <w:ind w:firstLine="0"/>
              <w:jc w:val="center"/>
              <w:rPr>
                <w:rFonts w:cs="Arial"/>
                <w:bCs/>
                <w:sz w:val="24"/>
                <w:szCs w:val="16"/>
                <w:lang w:val="id-ID"/>
              </w:rPr>
            </w:pPr>
            <w:r w:rsidRPr="00D07517">
              <w:rPr>
                <w:rFonts w:cs="Arial"/>
                <w:bCs/>
                <w:sz w:val="24"/>
                <w:szCs w:val="16"/>
                <w:lang w:val="id-ID"/>
              </w:rPr>
              <w:t>361.097</w:t>
            </w:r>
          </w:p>
        </w:tc>
        <w:tc>
          <w:tcPr>
            <w:tcW w:w="1186" w:type="dxa"/>
            <w:shd w:val="clear" w:color="auto" w:fill="auto"/>
          </w:tcPr>
          <w:p w:rsidR="00D07517" w:rsidRPr="00D07517" w:rsidRDefault="00D07517" w:rsidP="006332F2">
            <w:pPr>
              <w:pStyle w:val="BodyTextIndent2"/>
              <w:spacing w:before="120" w:line="276" w:lineRule="auto"/>
              <w:ind w:firstLine="0"/>
              <w:jc w:val="center"/>
              <w:rPr>
                <w:rFonts w:cs="Arial"/>
                <w:bCs/>
                <w:sz w:val="24"/>
                <w:szCs w:val="16"/>
                <w:lang w:val="id-ID"/>
              </w:rPr>
            </w:pPr>
            <w:r w:rsidRPr="00D07517">
              <w:rPr>
                <w:rFonts w:cs="Arial"/>
                <w:bCs/>
                <w:sz w:val="24"/>
                <w:szCs w:val="16"/>
                <w:lang w:val="id-ID"/>
              </w:rPr>
              <w:t>382.763</w:t>
            </w:r>
          </w:p>
        </w:tc>
        <w:tc>
          <w:tcPr>
            <w:tcW w:w="1186" w:type="dxa"/>
            <w:shd w:val="clear" w:color="auto" w:fill="auto"/>
          </w:tcPr>
          <w:p w:rsidR="00D07517" w:rsidRPr="00D07517" w:rsidRDefault="00D07517" w:rsidP="006332F2">
            <w:pPr>
              <w:pStyle w:val="BodyTextIndent2"/>
              <w:spacing w:before="120" w:line="276" w:lineRule="auto"/>
              <w:ind w:firstLine="0"/>
              <w:jc w:val="center"/>
              <w:rPr>
                <w:rFonts w:cs="Arial"/>
                <w:bCs/>
                <w:sz w:val="24"/>
                <w:szCs w:val="16"/>
                <w:lang w:val="id-ID"/>
              </w:rPr>
            </w:pPr>
            <w:r w:rsidRPr="00D07517">
              <w:rPr>
                <w:rFonts w:cs="Arial"/>
                <w:bCs/>
                <w:sz w:val="24"/>
                <w:szCs w:val="16"/>
                <w:lang w:val="id-ID"/>
              </w:rPr>
              <w:t>405.729</w:t>
            </w:r>
          </w:p>
        </w:tc>
        <w:tc>
          <w:tcPr>
            <w:tcW w:w="1186" w:type="dxa"/>
          </w:tcPr>
          <w:p w:rsidR="00D07517" w:rsidRPr="000C14F9" w:rsidRDefault="00D07517" w:rsidP="001632DF">
            <w:pPr>
              <w:pStyle w:val="BodyTextIndent2"/>
              <w:spacing w:before="120" w:line="240" w:lineRule="auto"/>
              <w:ind w:firstLine="0"/>
              <w:jc w:val="center"/>
              <w:rPr>
                <w:rFonts w:cs="Arial"/>
                <w:bCs/>
                <w:sz w:val="24"/>
                <w:lang w:val="id-ID"/>
              </w:rPr>
            </w:pPr>
            <w:r w:rsidRPr="00D07517">
              <w:rPr>
                <w:rFonts w:cs="Arial"/>
                <w:bCs/>
                <w:sz w:val="24"/>
                <w:szCs w:val="16"/>
                <w:lang w:val="id-ID"/>
              </w:rPr>
              <w:t>405.729</w:t>
            </w:r>
          </w:p>
        </w:tc>
      </w:tr>
      <w:tr w:rsidR="00D4709A" w:rsidRPr="000C14F9" w:rsidTr="00D07517">
        <w:trPr>
          <w:trHeight w:val="620"/>
        </w:trPr>
        <w:tc>
          <w:tcPr>
            <w:tcW w:w="2575" w:type="dxa"/>
            <w:shd w:val="clear" w:color="auto" w:fill="auto"/>
          </w:tcPr>
          <w:p w:rsidR="00D4709A" w:rsidRPr="000C14F9" w:rsidRDefault="00D4709A" w:rsidP="001632DF">
            <w:pPr>
              <w:pStyle w:val="BodyTextIndent2"/>
              <w:spacing w:line="240" w:lineRule="auto"/>
              <w:ind w:right="-5" w:firstLine="0"/>
              <w:jc w:val="center"/>
              <w:rPr>
                <w:rFonts w:cs="Arial"/>
                <w:sz w:val="24"/>
                <w:lang w:val="id-ID"/>
              </w:rPr>
            </w:pPr>
          </w:p>
        </w:tc>
        <w:tc>
          <w:tcPr>
            <w:tcW w:w="2539" w:type="dxa"/>
            <w:shd w:val="clear" w:color="auto" w:fill="auto"/>
            <w:vAlign w:val="center"/>
          </w:tcPr>
          <w:p w:rsidR="00D4709A" w:rsidRPr="000C14F9" w:rsidRDefault="00D4709A" w:rsidP="001632DF">
            <w:pPr>
              <w:pStyle w:val="BodyTextIndent2"/>
              <w:spacing w:before="120" w:line="240" w:lineRule="auto"/>
              <w:ind w:left="34" w:firstLine="0"/>
              <w:jc w:val="left"/>
              <w:rPr>
                <w:rFonts w:cs="Arial"/>
                <w:bCs/>
                <w:sz w:val="24"/>
                <w:lang w:val="id-ID"/>
              </w:rPr>
            </w:pPr>
            <w:r w:rsidRPr="000C14F9">
              <w:rPr>
                <w:rFonts w:cs="Arial"/>
                <w:bCs/>
                <w:sz w:val="24"/>
                <w:lang w:val="id-ID"/>
              </w:rPr>
              <w:t xml:space="preserve">Nilai Survey Kepuasan Masyarakat (SKM) Pelayanan Perijinan Terpadu </w:t>
            </w:r>
          </w:p>
          <w:p w:rsidR="00D4709A" w:rsidRPr="000C14F9" w:rsidRDefault="00D4709A" w:rsidP="001632DF">
            <w:pPr>
              <w:pStyle w:val="BodyTextIndent2"/>
              <w:spacing w:line="240" w:lineRule="auto"/>
              <w:ind w:left="34" w:firstLine="0"/>
              <w:jc w:val="left"/>
              <w:rPr>
                <w:rFonts w:cs="Arial"/>
                <w:bCs/>
                <w:sz w:val="24"/>
                <w:lang w:val="id-ID"/>
              </w:rPr>
            </w:pPr>
          </w:p>
        </w:tc>
        <w:tc>
          <w:tcPr>
            <w:tcW w:w="1264"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persen</w:t>
            </w:r>
          </w:p>
        </w:tc>
        <w:tc>
          <w:tcPr>
            <w:tcW w:w="1721"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80,75</w:t>
            </w:r>
          </w:p>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81,00</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81,50</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81,75</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82,00</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82,25</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82,50</w:t>
            </w:r>
          </w:p>
        </w:tc>
        <w:tc>
          <w:tcPr>
            <w:tcW w:w="1186"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82,50</w:t>
            </w:r>
          </w:p>
        </w:tc>
      </w:tr>
      <w:tr w:rsidR="00D4709A" w:rsidRPr="000C14F9" w:rsidTr="00D07517">
        <w:trPr>
          <w:trHeight w:val="629"/>
        </w:trPr>
        <w:tc>
          <w:tcPr>
            <w:tcW w:w="2575" w:type="dxa"/>
            <w:shd w:val="clear" w:color="auto" w:fill="auto"/>
          </w:tcPr>
          <w:p w:rsidR="00D4709A" w:rsidRPr="000C14F9" w:rsidRDefault="00D4709A" w:rsidP="001632DF">
            <w:pPr>
              <w:pStyle w:val="BodyTextIndent2"/>
              <w:spacing w:before="120" w:line="240" w:lineRule="auto"/>
              <w:ind w:right="-5" w:firstLine="0"/>
              <w:jc w:val="left"/>
              <w:rPr>
                <w:rFonts w:cs="Arial"/>
                <w:bCs/>
                <w:sz w:val="24"/>
                <w:lang w:val="id-ID"/>
              </w:rPr>
            </w:pPr>
            <w:r w:rsidRPr="000C14F9">
              <w:rPr>
                <w:rFonts w:cs="Arial"/>
                <w:bCs/>
                <w:sz w:val="24"/>
                <w:lang w:val="id-ID"/>
              </w:rPr>
              <w:t>Meningkatnya kinerja ekonomi dan pendapatan masyarakat</w:t>
            </w:r>
          </w:p>
        </w:tc>
        <w:tc>
          <w:tcPr>
            <w:tcW w:w="2539" w:type="dxa"/>
            <w:shd w:val="clear" w:color="auto" w:fill="auto"/>
          </w:tcPr>
          <w:p w:rsidR="00D4709A" w:rsidRPr="000C14F9" w:rsidRDefault="0018040D" w:rsidP="001632DF">
            <w:pPr>
              <w:pStyle w:val="BodyTextIndent2"/>
              <w:spacing w:before="120" w:line="240" w:lineRule="auto"/>
              <w:ind w:left="34" w:firstLine="0"/>
              <w:jc w:val="left"/>
              <w:rPr>
                <w:rFonts w:cs="Arial"/>
                <w:bCs/>
                <w:sz w:val="24"/>
                <w:lang w:val="id-ID"/>
              </w:rPr>
            </w:pPr>
            <w:r w:rsidRPr="000C14F9">
              <w:rPr>
                <w:rFonts w:cs="Arial"/>
                <w:bCs/>
                <w:sz w:val="24"/>
                <w:lang w:val="id-ID"/>
              </w:rPr>
              <w:t>Prosentase</w:t>
            </w:r>
            <w:r w:rsidR="00D4709A" w:rsidRPr="000C14F9">
              <w:rPr>
                <w:rFonts w:cs="Arial"/>
                <w:bCs/>
                <w:sz w:val="24"/>
                <w:lang w:val="id-ID"/>
              </w:rPr>
              <w:t xml:space="preserve"> usaha perdagangan berizin</w:t>
            </w:r>
          </w:p>
        </w:tc>
        <w:tc>
          <w:tcPr>
            <w:tcW w:w="1264"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Persen</w:t>
            </w:r>
          </w:p>
        </w:tc>
        <w:tc>
          <w:tcPr>
            <w:tcW w:w="1721"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100</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 xml:space="preserve">16,22 </w:t>
            </w:r>
          </w:p>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 xml:space="preserve">18,92 </w:t>
            </w:r>
          </w:p>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 xml:space="preserve">20,27 </w:t>
            </w:r>
          </w:p>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 xml:space="preserve">21,62 </w:t>
            </w:r>
          </w:p>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22,97</w:t>
            </w:r>
          </w:p>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24,32</w:t>
            </w:r>
          </w:p>
          <w:p w:rsidR="00D4709A" w:rsidRPr="000C14F9" w:rsidRDefault="00D4709A" w:rsidP="001632DF">
            <w:pPr>
              <w:pStyle w:val="BodyTextIndent2"/>
              <w:spacing w:before="120" w:line="240" w:lineRule="auto"/>
              <w:ind w:firstLine="0"/>
              <w:jc w:val="center"/>
              <w:rPr>
                <w:rFonts w:cs="Arial"/>
                <w:bCs/>
                <w:sz w:val="24"/>
                <w:lang w:val="id-ID"/>
              </w:rPr>
            </w:pPr>
          </w:p>
        </w:tc>
        <w:tc>
          <w:tcPr>
            <w:tcW w:w="1186"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24,32</w:t>
            </w:r>
          </w:p>
        </w:tc>
      </w:tr>
      <w:tr w:rsidR="00D4709A" w:rsidRPr="000C14F9" w:rsidTr="00D07517">
        <w:trPr>
          <w:trHeight w:val="709"/>
        </w:trPr>
        <w:tc>
          <w:tcPr>
            <w:tcW w:w="2575" w:type="dxa"/>
            <w:shd w:val="clear" w:color="auto" w:fill="auto"/>
          </w:tcPr>
          <w:p w:rsidR="00D4709A" w:rsidRPr="000C14F9" w:rsidRDefault="00D4709A" w:rsidP="001632DF">
            <w:pPr>
              <w:pStyle w:val="BodyTextIndent2"/>
              <w:spacing w:before="120" w:line="240" w:lineRule="auto"/>
              <w:ind w:firstLine="0"/>
              <w:jc w:val="left"/>
              <w:rPr>
                <w:rFonts w:cs="Arial"/>
                <w:bCs/>
                <w:sz w:val="24"/>
                <w:lang w:val="id-ID"/>
              </w:rPr>
            </w:pPr>
            <w:r w:rsidRPr="000C14F9">
              <w:rPr>
                <w:rFonts w:cs="Arial"/>
                <w:bCs/>
                <w:sz w:val="24"/>
                <w:lang w:val="id-ID"/>
              </w:rPr>
              <w:t>Meningkatnya kapasitas kelembagaan dan aparatur pemerintah</w:t>
            </w:r>
          </w:p>
        </w:tc>
        <w:tc>
          <w:tcPr>
            <w:tcW w:w="2539" w:type="dxa"/>
            <w:shd w:val="clear" w:color="auto" w:fill="auto"/>
          </w:tcPr>
          <w:p w:rsidR="00D4709A" w:rsidRPr="000C14F9" w:rsidRDefault="00D4709A" w:rsidP="001632DF">
            <w:pPr>
              <w:pStyle w:val="BodyTextIndent2"/>
              <w:spacing w:before="120" w:line="240" w:lineRule="auto"/>
              <w:ind w:left="34" w:firstLine="0"/>
              <w:jc w:val="left"/>
              <w:rPr>
                <w:rFonts w:cs="Arial"/>
                <w:bCs/>
                <w:sz w:val="24"/>
                <w:lang w:val="id-ID"/>
              </w:rPr>
            </w:pPr>
            <w:r w:rsidRPr="000C14F9">
              <w:rPr>
                <w:rFonts w:cs="Arial"/>
                <w:bCs/>
                <w:sz w:val="24"/>
                <w:lang w:val="id-ID"/>
              </w:rPr>
              <w:t>Prosentase capaian kinerja pelayanan perangkat daerah</w:t>
            </w:r>
          </w:p>
        </w:tc>
        <w:tc>
          <w:tcPr>
            <w:tcW w:w="1264"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Persen</w:t>
            </w:r>
          </w:p>
        </w:tc>
        <w:tc>
          <w:tcPr>
            <w:tcW w:w="1721"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c>
          <w:tcPr>
            <w:tcW w:w="1186" w:type="dxa"/>
            <w:shd w:val="clear" w:color="auto" w:fill="auto"/>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c>
          <w:tcPr>
            <w:tcW w:w="1186" w:type="dxa"/>
          </w:tcPr>
          <w:p w:rsidR="00D4709A" w:rsidRPr="000C14F9" w:rsidRDefault="00D4709A" w:rsidP="001632DF">
            <w:pPr>
              <w:pStyle w:val="BodyTextIndent2"/>
              <w:spacing w:before="120" w:line="240" w:lineRule="auto"/>
              <w:ind w:firstLine="0"/>
              <w:jc w:val="center"/>
              <w:rPr>
                <w:rFonts w:cs="Arial"/>
                <w:bCs/>
                <w:sz w:val="24"/>
                <w:lang w:val="id-ID"/>
              </w:rPr>
            </w:pPr>
            <w:r w:rsidRPr="000C14F9">
              <w:rPr>
                <w:rFonts w:cs="Arial"/>
                <w:bCs/>
                <w:sz w:val="24"/>
                <w:lang w:val="id-ID"/>
              </w:rPr>
              <w:t>96</w:t>
            </w:r>
          </w:p>
        </w:tc>
      </w:tr>
    </w:tbl>
    <w:p w:rsidR="002A43E0" w:rsidRPr="000C14F9" w:rsidRDefault="002A43E0" w:rsidP="00860DD6">
      <w:pPr>
        <w:jc w:val="center"/>
        <w:rPr>
          <w:i/>
        </w:rPr>
      </w:pPr>
    </w:p>
    <w:p w:rsidR="00950AC6" w:rsidRPr="0078728A" w:rsidRDefault="00516D06" w:rsidP="00860DD6">
      <w:pPr>
        <w:jc w:val="center"/>
        <w:rPr>
          <w:rFonts w:ascii="Bookman Old Style" w:hAnsi="Bookman Old Style"/>
          <w:i/>
        </w:rPr>
      </w:pPr>
      <w:r w:rsidRPr="0078728A">
        <w:rPr>
          <w:rFonts w:ascii="Bookman Old Style" w:hAnsi="Bookman Old Style"/>
          <w:i/>
        </w:rPr>
        <w:t xml:space="preserve">Tabel 6.1 Indikator Kinerja </w:t>
      </w:r>
      <w:r w:rsidR="00D37CEE" w:rsidRPr="0078728A">
        <w:rPr>
          <w:rFonts w:ascii="Bookman Old Style" w:hAnsi="Bookman Old Style"/>
          <w:i/>
        </w:rPr>
        <w:t>Program yang Mendukung Pencapaian Indikator Kinerja Daerah dalam RPJMD Kabupaten Kebumen Tahun 2016-2021</w:t>
      </w:r>
    </w:p>
    <w:p w:rsidR="00860DD6" w:rsidRPr="000C14F9" w:rsidRDefault="00860DD6" w:rsidP="00950AC6">
      <w:bookmarkStart w:id="0" w:name="_GoBack"/>
      <w:bookmarkEnd w:id="0"/>
    </w:p>
    <w:sectPr w:rsidR="00860DD6" w:rsidRPr="000C14F9" w:rsidSect="001632DF">
      <w:pgSz w:w="18722" w:h="12242" w:orient="landscape" w:code="25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20" w:rsidRDefault="00E94320" w:rsidP="0018040D">
      <w:pPr>
        <w:spacing w:after="0" w:line="240" w:lineRule="auto"/>
      </w:pPr>
      <w:r>
        <w:separator/>
      </w:r>
    </w:p>
  </w:endnote>
  <w:endnote w:type="continuationSeparator" w:id="0">
    <w:p w:rsidR="00E94320" w:rsidRDefault="00E94320" w:rsidP="0018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93678"/>
      <w:docPartObj>
        <w:docPartGallery w:val="Page Numbers (Bottom of Page)"/>
        <w:docPartUnique/>
      </w:docPartObj>
    </w:sdtPr>
    <w:sdtEndPr>
      <w:rPr>
        <w:noProof/>
      </w:rPr>
    </w:sdtEndPr>
    <w:sdtContent>
      <w:p w:rsidR="00F01EE8" w:rsidRDefault="00F01EE8">
        <w:pPr>
          <w:pStyle w:val="Footer"/>
          <w:jc w:val="center"/>
        </w:pPr>
        <w:r>
          <w:fldChar w:fldCharType="begin"/>
        </w:r>
        <w:r>
          <w:instrText xml:space="preserve"> PAGE   \* MERGEFORMAT </w:instrText>
        </w:r>
        <w:r>
          <w:fldChar w:fldCharType="separate"/>
        </w:r>
        <w:r w:rsidR="0043068D">
          <w:rPr>
            <w:noProof/>
          </w:rPr>
          <w:t>50</w:t>
        </w:r>
        <w:r>
          <w:rPr>
            <w:noProof/>
          </w:rPr>
          <w:fldChar w:fldCharType="end"/>
        </w:r>
      </w:p>
    </w:sdtContent>
  </w:sdt>
  <w:p w:rsidR="00F01EE8" w:rsidRDefault="00F0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20" w:rsidRDefault="00E94320" w:rsidP="0018040D">
      <w:pPr>
        <w:spacing w:after="0" w:line="240" w:lineRule="auto"/>
      </w:pPr>
      <w:r>
        <w:separator/>
      </w:r>
    </w:p>
  </w:footnote>
  <w:footnote w:type="continuationSeparator" w:id="0">
    <w:p w:rsidR="00E94320" w:rsidRDefault="00E94320" w:rsidP="0018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A83"/>
    <w:multiLevelType w:val="hybridMultilevel"/>
    <w:tmpl w:val="74D0F376"/>
    <w:lvl w:ilvl="0" w:tplc="7A707DA0">
      <w:start w:val="1"/>
      <w:numFmt w:val="decimal"/>
      <w:lvlText w:val="%1."/>
      <w:lvlJc w:val="left"/>
      <w:pPr>
        <w:ind w:left="502" w:hanging="360"/>
      </w:pPr>
      <w:rPr>
        <w:rFonts w:ascii="Bookman Old Style" w:eastAsia="Times New Roman" w:hAnsi="Bookman Old Style" w:cs="Arial"/>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2"/>
    <w:rsid w:val="000022C1"/>
    <w:rsid w:val="000043AC"/>
    <w:rsid w:val="00005390"/>
    <w:rsid w:val="00013AAA"/>
    <w:rsid w:val="000211D6"/>
    <w:rsid w:val="00022E93"/>
    <w:rsid w:val="00023077"/>
    <w:rsid w:val="00076877"/>
    <w:rsid w:val="00091CAC"/>
    <w:rsid w:val="00092D2D"/>
    <w:rsid w:val="000934A6"/>
    <w:rsid w:val="00095A33"/>
    <w:rsid w:val="000B1C48"/>
    <w:rsid w:val="000C14F9"/>
    <w:rsid w:val="000D01F9"/>
    <w:rsid w:val="000E03FD"/>
    <w:rsid w:val="001029FB"/>
    <w:rsid w:val="001327A6"/>
    <w:rsid w:val="001418D1"/>
    <w:rsid w:val="0015154F"/>
    <w:rsid w:val="001537AE"/>
    <w:rsid w:val="001632DF"/>
    <w:rsid w:val="00167ACB"/>
    <w:rsid w:val="0018040D"/>
    <w:rsid w:val="00184A43"/>
    <w:rsid w:val="00196784"/>
    <w:rsid w:val="00197CB6"/>
    <w:rsid w:val="001A2C5D"/>
    <w:rsid w:val="001C015E"/>
    <w:rsid w:val="001C535F"/>
    <w:rsid w:val="001D320A"/>
    <w:rsid w:val="001D36E5"/>
    <w:rsid w:val="001F21BC"/>
    <w:rsid w:val="001F676A"/>
    <w:rsid w:val="0020021B"/>
    <w:rsid w:val="00202FB8"/>
    <w:rsid w:val="00205004"/>
    <w:rsid w:val="0020542F"/>
    <w:rsid w:val="00211574"/>
    <w:rsid w:val="002229AC"/>
    <w:rsid w:val="002439A2"/>
    <w:rsid w:val="00245AE1"/>
    <w:rsid w:val="00246413"/>
    <w:rsid w:val="00256FBF"/>
    <w:rsid w:val="00265C60"/>
    <w:rsid w:val="00272D8D"/>
    <w:rsid w:val="002843FD"/>
    <w:rsid w:val="0029543E"/>
    <w:rsid w:val="002A0B30"/>
    <w:rsid w:val="002A43E0"/>
    <w:rsid w:val="002A44FB"/>
    <w:rsid w:val="002A572F"/>
    <w:rsid w:val="002A7768"/>
    <w:rsid w:val="002B1C17"/>
    <w:rsid w:val="002C69A1"/>
    <w:rsid w:val="002C6DD1"/>
    <w:rsid w:val="002D7CF0"/>
    <w:rsid w:val="002F0F4D"/>
    <w:rsid w:val="00302AE8"/>
    <w:rsid w:val="00313FB1"/>
    <w:rsid w:val="00326BE6"/>
    <w:rsid w:val="00334BF2"/>
    <w:rsid w:val="00344EE9"/>
    <w:rsid w:val="00387D59"/>
    <w:rsid w:val="003909AD"/>
    <w:rsid w:val="00393978"/>
    <w:rsid w:val="0039763F"/>
    <w:rsid w:val="003A2B02"/>
    <w:rsid w:val="003B2119"/>
    <w:rsid w:val="004040C2"/>
    <w:rsid w:val="00410770"/>
    <w:rsid w:val="004226EE"/>
    <w:rsid w:val="0043068D"/>
    <w:rsid w:val="00441121"/>
    <w:rsid w:val="004459FE"/>
    <w:rsid w:val="0046536C"/>
    <w:rsid w:val="0048175B"/>
    <w:rsid w:val="004A5513"/>
    <w:rsid w:val="004B00EB"/>
    <w:rsid w:val="004C37F7"/>
    <w:rsid w:val="004C7A1D"/>
    <w:rsid w:val="004D01DF"/>
    <w:rsid w:val="004D3F82"/>
    <w:rsid w:val="004D764B"/>
    <w:rsid w:val="00516D06"/>
    <w:rsid w:val="00520431"/>
    <w:rsid w:val="00521F0B"/>
    <w:rsid w:val="00526849"/>
    <w:rsid w:val="00541977"/>
    <w:rsid w:val="00545EA7"/>
    <w:rsid w:val="005573B9"/>
    <w:rsid w:val="00562680"/>
    <w:rsid w:val="00587CDB"/>
    <w:rsid w:val="00590933"/>
    <w:rsid w:val="005A0FFC"/>
    <w:rsid w:val="005A330E"/>
    <w:rsid w:val="005B2468"/>
    <w:rsid w:val="005B4E44"/>
    <w:rsid w:val="005F0154"/>
    <w:rsid w:val="005F1879"/>
    <w:rsid w:val="005F4C24"/>
    <w:rsid w:val="0060775D"/>
    <w:rsid w:val="00620A47"/>
    <w:rsid w:val="00654B19"/>
    <w:rsid w:val="006605B1"/>
    <w:rsid w:val="006664C9"/>
    <w:rsid w:val="006721F4"/>
    <w:rsid w:val="006836A4"/>
    <w:rsid w:val="006935D3"/>
    <w:rsid w:val="00695B38"/>
    <w:rsid w:val="006B3E76"/>
    <w:rsid w:val="006D00F7"/>
    <w:rsid w:val="006D37A5"/>
    <w:rsid w:val="006F792B"/>
    <w:rsid w:val="0071661B"/>
    <w:rsid w:val="007238C4"/>
    <w:rsid w:val="00726691"/>
    <w:rsid w:val="00746320"/>
    <w:rsid w:val="0076559C"/>
    <w:rsid w:val="00765F0D"/>
    <w:rsid w:val="007728D1"/>
    <w:rsid w:val="0077520C"/>
    <w:rsid w:val="0078694B"/>
    <w:rsid w:val="0078728A"/>
    <w:rsid w:val="00790B1A"/>
    <w:rsid w:val="0079591F"/>
    <w:rsid w:val="007B2277"/>
    <w:rsid w:val="007B4534"/>
    <w:rsid w:val="007D312E"/>
    <w:rsid w:val="007D647D"/>
    <w:rsid w:val="007F01DD"/>
    <w:rsid w:val="0080267F"/>
    <w:rsid w:val="00804FFD"/>
    <w:rsid w:val="00832901"/>
    <w:rsid w:val="00860DD6"/>
    <w:rsid w:val="008947EE"/>
    <w:rsid w:val="008B321F"/>
    <w:rsid w:val="008B3BE6"/>
    <w:rsid w:val="008D022E"/>
    <w:rsid w:val="009062F8"/>
    <w:rsid w:val="00914882"/>
    <w:rsid w:val="00915ED3"/>
    <w:rsid w:val="0092188D"/>
    <w:rsid w:val="00922575"/>
    <w:rsid w:val="009277BF"/>
    <w:rsid w:val="00931D87"/>
    <w:rsid w:val="00934A84"/>
    <w:rsid w:val="0095032A"/>
    <w:rsid w:val="00950AC6"/>
    <w:rsid w:val="00970138"/>
    <w:rsid w:val="00986DFB"/>
    <w:rsid w:val="00996FB5"/>
    <w:rsid w:val="009B1634"/>
    <w:rsid w:val="009B31FB"/>
    <w:rsid w:val="009B35B8"/>
    <w:rsid w:val="009D2440"/>
    <w:rsid w:val="009D681F"/>
    <w:rsid w:val="009E44FC"/>
    <w:rsid w:val="009E56A1"/>
    <w:rsid w:val="009F60DC"/>
    <w:rsid w:val="00A0444C"/>
    <w:rsid w:val="00A04F1E"/>
    <w:rsid w:val="00A06C4B"/>
    <w:rsid w:val="00A10939"/>
    <w:rsid w:val="00A13F8B"/>
    <w:rsid w:val="00A226ED"/>
    <w:rsid w:val="00A303EC"/>
    <w:rsid w:val="00A36943"/>
    <w:rsid w:val="00A723A4"/>
    <w:rsid w:val="00A72B17"/>
    <w:rsid w:val="00A86726"/>
    <w:rsid w:val="00AA1BF0"/>
    <w:rsid w:val="00AA5FF1"/>
    <w:rsid w:val="00AB321D"/>
    <w:rsid w:val="00AB6C6E"/>
    <w:rsid w:val="00AD34E8"/>
    <w:rsid w:val="00AD3601"/>
    <w:rsid w:val="00AE2AC6"/>
    <w:rsid w:val="00AE6E28"/>
    <w:rsid w:val="00B136B8"/>
    <w:rsid w:val="00B201B9"/>
    <w:rsid w:val="00B34806"/>
    <w:rsid w:val="00B43BCD"/>
    <w:rsid w:val="00B4621B"/>
    <w:rsid w:val="00B56835"/>
    <w:rsid w:val="00B74A1C"/>
    <w:rsid w:val="00BB115C"/>
    <w:rsid w:val="00BC53D1"/>
    <w:rsid w:val="00BE1F9E"/>
    <w:rsid w:val="00BE3C51"/>
    <w:rsid w:val="00BE7854"/>
    <w:rsid w:val="00C120FD"/>
    <w:rsid w:val="00C23CD5"/>
    <w:rsid w:val="00C40F4D"/>
    <w:rsid w:val="00C43714"/>
    <w:rsid w:val="00C44E29"/>
    <w:rsid w:val="00C6210A"/>
    <w:rsid w:val="00C762B1"/>
    <w:rsid w:val="00C81EFD"/>
    <w:rsid w:val="00C921B9"/>
    <w:rsid w:val="00CA08A2"/>
    <w:rsid w:val="00CC694C"/>
    <w:rsid w:val="00CD0E09"/>
    <w:rsid w:val="00CF5EC2"/>
    <w:rsid w:val="00CF79B9"/>
    <w:rsid w:val="00D07517"/>
    <w:rsid w:val="00D270CB"/>
    <w:rsid w:val="00D348A8"/>
    <w:rsid w:val="00D37CEE"/>
    <w:rsid w:val="00D4709A"/>
    <w:rsid w:val="00D50186"/>
    <w:rsid w:val="00D50715"/>
    <w:rsid w:val="00D514A7"/>
    <w:rsid w:val="00D616BC"/>
    <w:rsid w:val="00D73FE3"/>
    <w:rsid w:val="00D80569"/>
    <w:rsid w:val="00DE10CA"/>
    <w:rsid w:val="00E137AF"/>
    <w:rsid w:val="00E13F17"/>
    <w:rsid w:val="00E243ED"/>
    <w:rsid w:val="00E42BF4"/>
    <w:rsid w:val="00E86C05"/>
    <w:rsid w:val="00E94320"/>
    <w:rsid w:val="00EB6F5D"/>
    <w:rsid w:val="00EE4BBA"/>
    <w:rsid w:val="00F0115D"/>
    <w:rsid w:val="00F01EE8"/>
    <w:rsid w:val="00F07F1F"/>
    <w:rsid w:val="00F24F8B"/>
    <w:rsid w:val="00F26107"/>
    <w:rsid w:val="00F26E4D"/>
    <w:rsid w:val="00F3567E"/>
    <w:rsid w:val="00F57917"/>
    <w:rsid w:val="00F7333B"/>
    <w:rsid w:val="00F747B0"/>
    <w:rsid w:val="00F82254"/>
    <w:rsid w:val="00F916D7"/>
    <w:rsid w:val="00FA1156"/>
    <w:rsid w:val="00FA5CDC"/>
    <w:rsid w:val="00FB19FF"/>
    <w:rsid w:val="00FC2E8A"/>
    <w:rsid w:val="00FD5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A2B02"/>
    <w:pPr>
      <w:spacing w:after="0" w:line="360" w:lineRule="auto"/>
      <w:ind w:firstLine="3600"/>
      <w:jc w:val="both"/>
    </w:pPr>
    <w:rPr>
      <w:rFonts w:ascii="Bookman Old Style" w:eastAsia="Times New Roman" w:hAnsi="Bookman Old Style" w:cs="Times New Roman"/>
      <w:sz w:val="26"/>
      <w:szCs w:val="24"/>
      <w:lang w:val="en-US"/>
    </w:rPr>
  </w:style>
  <w:style w:type="character" w:customStyle="1" w:styleId="BodyTextIndent2Char">
    <w:name w:val="Body Text Indent 2 Char"/>
    <w:basedOn w:val="DefaultParagraphFont"/>
    <w:link w:val="BodyTextIndent2"/>
    <w:rsid w:val="003A2B02"/>
    <w:rPr>
      <w:rFonts w:ascii="Bookman Old Style" w:eastAsia="Times New Roman" w:hAnsi="Bookman Old Style" w:cs="Times New Roman"/>
      <w:sz w:val="26"/>
      <w:szCs w:val="24"/>
      <w:lang w:val="en-US"/>
    </w:rPr>
  </w:style>
  <w:style w:type="table" w:styleId="TableGrid">
    <w:name w:val="Table Grid"/>
    <w:basedOn w:val="TableNormal"/>
    <w:uiPriority w:val="59"/>
    <w:rsid w:val="00906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D"/>
  </w:style>
  <w:style w:type="paragraph" w:styleId="Footer">
    <w:name w:val="footer"/>
    <w:basedOn w:val="Normal"/>
    <w:link w:val="FooterChar"/>
    <w:uiPriority w:val="99"/>
    <w:unhideWhenUsed/>
    <w:rsid w:val="00180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A2B02"/>
    <w:pPr>
      <w:spacing w:after="0" w:line="360" w:lineRule="auto"/>
      <w:ind w:firstLine="3600"/>
      <w:jc w:val="both"/>
    </w:pPr>
    <w:rPr>
      <w:rFonts w:ascii="Bookman Old Style" w:eastAsia="Times New Roman" w:hAnsi="Bookman Old Style" w:cs="Times New Roman"/>
      <w:sz w:val="26"/>
      <w:szCs w:val="24"/>
      <w:lang w:val="en-US"/>
    </w:rPr>
  </w:style>
  <w:style w:type="character" w:customStyle="1" w:styleId="BodyTextIndent2Char">
    <w:name w:val="Body Text Indent 2 Char"/>
    <w:basedOn w:val="DefaultParagraphFont"/>
    <w:link w:val="BodyTextIndent2"/>
    <w:rsid w:val="003A2B02"/>
    <w:rPr>
      <w:rFonts w:ascii="Bookman Old Style" w:eastAsia="Times New Roman" w:hAnsi="Bookman Old Style" w:cs="Times New Roman"/>
      <w:sz w:val="26"/>
      <w:szCs w:val="24"/>
      <w:lang w:val="en-US"/>
    </w:rPr>
  </w:style>
  <w:style w:type="table" w:styleId="TableGrid">
    <w:name w:val="Table Grid"/>
    <w:basedOn w:val="TableNormal"/>
    <w:uiPriority w:val="59"/>
    <w:rsid w:val="00906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D"/>
  </w:style>
  <w:style w:type="paragraph" w:styleId="Footer">
    <w:name w:val="footer"/>
    <w:basedOn w:val="Normal"/>
    <w:link w:val="FooterChar"/>
    <w:uiPriority w:val="99"/>
    <w:unhideWhenUsed/>
    <w:rsid w:val="00180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2017-03-27T08:11:00Z</cp:lastPrinted>
  <dcterms:created xsi:type="dcterms:W3CDTF">2017-02-09T01:41:00Z</dcterms:created>
  <dcterms:modified xsi:type="dcterms:W3CDTF">2017-03-27T08:43:00Z</dcterms:modified>
</cp:coreProperties>
</file>